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**Please make sure to use the link listed below.**</w:t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GENERIC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LinkedIn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  <w:t xml:space="preserve">Join me at an #EnterpriseUniversity course this fall. You’ll walk away with actionable knowledge and skills you can put to use immediately. Check out a variety of course topics being offered here: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https://enterprisebank.online/eu_li_cta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Facebook/Twitter/Instagram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You can gain </w:t>
      </w:r>
      <w:r w:rsidDel="00000000" w:rsidR="00000000" w:rsidRPr="00000000">
        <w:rPr>
          <w:rtl w:val="0"/>
        </w:rPr>
        <w:t xml:space="preserve">real-world business </w:t>
      </w:r>
      <w:r w:rsidDel="00000000" w:rsidR="00000000" w:rsidRPr="00000000">
        <w:rPr>
          <w:rtl w:val="0"/>
        </w:rPr>
        <w:t xml:space="preserve">skills at no cost and choose from a variety of courses with #EnterpriseUniversity at: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https://enterprisebank.online/eu_ft_cta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Challenge yourself and your team with #EnterpriseUniversity business courses this fall. You can choose from a variety of courses. Register here: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https://enterprisebank.online/eu_ft_cta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SPECIFIC FOR CLASSES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LinkedIn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I’m excited to announce that I will be teaching [ENTER THE CLASS YOU’RE TEACHING HERE] for the #EnterpriseUniversity Fall 2019 semester. I hope you’ll register!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https://enterprisebank.online/eu_li_class-cta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At #EnterpriseUniversity, you gain real-world business skills at no cost. If you haven’t experienced a class yet, you’re missing out! Register for my two-hour class today at: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https://enterprisebank.online/eu_li_class-cta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Facebook/Twitter/Instagram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I’m excited to announce that I will be teaching [ENTER THE CLASS YOU’RE TEACHING HERE] for the #EnterpriseUniversity Fall 2019 semester!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https://enterprisebank.online/eu_ft_class-cta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At #EnterpriseUniversity, you gain real-world business skills at no cost. Register for my two-hour class, [NAME OF COURSE], today!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https://enterprisebank.online/eu_ft_class-cta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2057400</wp:posOffset>
          </wp:positionH>
          <wp:positionV relativeFrom="paragraph">
            <wp:posOffset>-323849</wp:posOffset>
          </wp:positionV>
          <wp:extent cx="1995488" cy="152987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5488" cy="152987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nterprisebank.online/eu_li_class-cta" TargetMode="External"/><Relationship Id="rId10" Type="http://schemas.openxmlformats.org/officeDocument/2006/relationships/hyperlink" Target="https://enterprisebank.online/eu_li_class-cta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enterprisebank.online/eu_li_class-ct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terprisebank.online/eu_li_class-cta" TargetMode="External"/><Relationship Id="rId5" Type="http://schemas.openxmlformats.org/officeDocument/2006/relationships/styles" Target="styles.xml"/><Relationship Id="rId6" Type="http://schemas.openxmlformats.org/officeDocument/2006/relationships/hyperlink" Target="https://enterprisebank.online/eu_li_cta" TargetMode="External"/><Relationship Id="rId7" Type="http://schemas.openxmlformats.org/officeDocument/2006/relationships/hyperlink" Target="https://enterprisebank.online/eu_li_cta" TargetMode="External"/><Relationship Id="rId8" Type="http://schemas.openxmlformats.org/officeDocument/2006/relationships/hyperlink" Target="https://enterprisebank.online/eu_li_ct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